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BFB9" w14:textId="77777777" w:rsidR="00FE2F6B" w:rsidRPr="007F153D" w:rsidRDefault="00FE2F6B" w:rsidP="009206B8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9671969" w14:textId="77777777" w:rsidR="00D2318B" w:rsidRPr="007F153D" w:rsidRDefault="00FE2F6B" w:rsidP="00FA7F94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</w:pPr>
      <w:r w:rsidRPr="007F153D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 xml:space="preserve">Lecture </w:t>
      </w:r>
      <w:r w:rsidR="00D2318B" w:rsidRPr="007F153D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6</w:t>
      </w:r>
      <w:r w:rsidR="00D7244F" w:rsidRPr="007F153D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.</w:t>
      </w:r>
    </w:p>
    <w:p w14:paraId="6346BF10" w14:textId="77777777" w:rsidR="00F20E57" w:rsidRPr="007F153D" w:rsidRDefault="00F20E57" w:rsidP="00FA7F94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</w:pPr>
    </w:p>
    <w:p w14:paraId="2C1CB490" w14:textId="77777777" w:rsidR="00F20E57" w:rsidRPr="007F153D" w:rsidRDefault="00FA7F94" w:rsidP="00FA7F94">
      <w:pPr>
        <w:spacing w:after="0" w:line="240" w:lineRule="auto"/>
        <w:ind w:left="71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F153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Basic principles of antimicrobial therapy. Chemical therapeutic drugs. Antibiotics</w:t>
      </w:r>
    </w:p>
    <w:p w14:paraId="6447B36E" w14:textId="77777777" w:rsidR="00FA7F94" w:rsidRPr="007F153D" w:rsidRDefault="00FA7F94" w:rsidP="009206B8">
      <w:pPr>
        <w:spacing w:after="0" w:line="240" w:lineRule="auto"/>
        <w:ind w:left="714"/>
        <w:jc w:val="center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</w:p>
    <w:p w14:paraId="2DBB68DD" w14:textId="77777777" w:rsidR="009170E0" w:rsidRPr="007F153D" w:rsidRDefault="00FE2F6B" w:rsidP="00920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The purpose of the lecture: </w:t>
      </w:r>
      <w:r w:rsidRPr="007F153D">
        <w:rPr>
          <w:rFonts w:ascii="Times New Roman" w:hAnsi="Times New Roman" w:cs="Times New Roman"/>
          <w:sz w:val="28"/>
          <w:szCs w:val="28"/>
          <w:lang w:val="az-Latn-AZ"/>
        </w:rPr>
        <w:t>To acquaint students with the basics of chemotherapy and the main groups of chemotherapeutic drugs and their mechanisms of action. Explain antibiotics, their classification, mechanisms of action, antibiotic resistance.</w:t>
      </w:r>
    </w:p>
    <w:p w14:paraId="09B2C154" w14:textId="77777777" w:rsidR="009170E0" w:rsidRPr="007F153D" w:rsidRDefault="009170E0" w:rsidP="00920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74BA440" w14:textId="440F239F" w:rsidR="009170E0" w:rsidRPr="007F153D" w:rsidRDefault="00FE2F6B" w:rsidP="00920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b/>
          <w:sz w:val="28"/>
          <w:szCs w:val="28"/>
          <w:lang w:val="az-Latn-AZ"/>
        </w:rPr>
        <w:t>Lecture plan</w:t>
      </w:r>
      <w:r w:rsidR="006A79AB" w:rsidRPr="007F153D">
        <w:rPr>
          <w:rFonts w:ascii="Times New Roman" w:hAnsi="Times New Roman" w:cs="Times New Roman"/>
          <w:b/>
          <w:sz w:val="28"/>
          <w:szCs w:val="28"/>
          <w:lang w:val="az-Latn-AZ"/>
        </w:rPr>
        <w:t>:</w:t>
      </w:r>
    </w:p>
    <w:p w14:paraId="3BE8FF78" w14:textId="77777777" w:rsidR="00FE2F6B" w:rsidRPr="007F153D" w:rsidRDefault="00FE2F6B" w:rsidP="00F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sz w:val="28"/>
          <w:szCs w:val="28"/>
          <w:lang w:val="az-Latn-AZ"/>
        </w:rPr>
        <w:t>1. Chemotherapy.</w:t>
      </w:r>
    </w:p>
    <w:p w14:paraId="749D7EB9" w14:textId="77777777" w:rsidR="00FE2F6B" w:rsidRPr="007F153D" w:rsidRDefault="00FE2F6B" w:rsidP="00F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sz w:val="28"/>
          <w:szCs w:val="28"/>
          <w:lang w:val="az-Latn-AZ"/>
        </w:rPr>
        <w:t xml:space="preserve">- The concept of chemotherapy, the history of its development, the role of </w:t>
      </w:r>
      <w:r w:rsidR="00A06444" w:rsidRPr="007F153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F153D">
        <w:rPr>
          <w:rFonts w:ascii="Times New Roman" w:hAnsi="Times New Roman" w:cs="Times New Roman"/>
          <w:sz w:val="28"/>
          <w:szCs w:val="28"/>
          <w:lang w:val="az-Latn-AZ"/>
        </w:rPr>
        <w:t>P.Erlich.</w:t>
      </w:r>
    </w:p>
    <w:p w14:paraId="59138122" w14:textId="77777777" w:rsidR="00FE2F6B" w:rsidRPr="007F153D" w:rsidRDefault="00FE2F6B" w:rsidP="00F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sz w:val="28"/>
          <w:szCs w:val="28"/>
          <w:lang w:val="az-Latn-AZ"/>
        </w:rPr>
        <w:t>- Chemotherapeutic index.</w:t>
      </w:r>
    </w:p>
    <w:p w14:paraId="5C4DCDFE" w14:textId="77777777" w:rsidR="00FE2F6B" w:rsidRPr="007F153D" w:rsidRDefault="00FE2F6B" w:rsidP="00F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sz w:val="28"/>
          <w:szCs w:val="28"/>
          <w:lang w:val="az-Latn-AZ"/>
        </w:rPr>
        <w:t>- The main groups of chemical antimicrobials.</w:t>
      </w:r>
    </w:p>
    <w:p w14:paraId="2FE45E8B" w14:textId="77777777" w:rsidR="00FE2F6B" w:rsidRPr="007F153D" w:rsidRDefault="00FE2F6B" w:rsidP="00F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sz w:val="28"/>
          <w:szCs w:val="28"/>
          <w:lang w:val="az-Latn-AZ"/>
        </w:rPr>
        <w:t>- Principles of chemotherapy of viral infections. Antivirus chemicals.</w:t>
      </w:r>
    </w:p>
    <w:p w14:paraId="670BC918" w14:textId="77777777" w:rsidR="00FE2F6B" w:rsidRPr="007F153D" w:rsidRDefault="00FE2F6B" w:rsidP="00F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sz w:val="28"/>
          <w:szCs w:val="28"/>
          <w:lang w:val="az-Latn-AZ"/>
        </w:rPr>
        <w:t>2. Antibiotics. The concept, discovery, history of antibiotics. The role of A. Fleming</w:t>
      </w:r>
    </w:p>
    <w:p w14:paraId="4A2E8C50" w14:textId="77777777" w:rsidR="00FE2F6B" w:rsidRPr="007F153D" w:rsidRDefault="00FE2F6B" w:rsidP="00F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sz w:val="28"/>
          <w:szCs w:val="28"/>
          <w:lang w:val="az-Latn-AZ"/>
        </w:rPr>
        <w:t>- Classification of antibiotics according to their origin, chemical composition, mechanisms of antimicrobial action, spectrum of activity.</w:t>
      </w:r>
    </w:p>
    <w:p w14:paraId="76C9B6CB" w14:textId="77777777" w:rsidR="00FE2F6B" w:rsidRPr="007F153D" w:rsidRDefault="00FE2F6B" w:rsidP="00F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sz w:val="28"/>
          <w:szCs w:val="28"/>
          <w:lang w:val="az-Latn-AZ"/>
        </w:rPr>
        <w:t>- Complications that can occur under the influence of antibiotics. Factors and mechanisms of bacterial resistance to antibiotics. Natural and acquired durability.</w:t>
      </w:r>
    </w:p>
    <w:p w14:paraId="337692DE" w14:textId="77777777" w:rsidR="004A2C51" w:rsidRPr="007F153D" w:rsidRDefault="00FE2F6B" w:rsidP="00FE2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sz w:val="28"/>
          <w:szCs w:val="28"/>
          <w:lang w:val="az-Latn-AZ"/>
        </w:rPr>
        <w:t>- Determination of antibiotic susceptibility of bacteria.</w:t>
      </w:r>
    </w:p>
    <w:p w14:paraId="2DC2B410" w14:textId="73F27033" w:rsidR="00CE3E01" w:rsidRPr="007F153D" w:rsidRDefault="00CE3E01" w:rsidP="007F153D">
      <w:pPr>
        <w:tabs>
          <w:tab w:val="left" w:pos="760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EF02198" w14:textId="5A8EB9DB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The year 1935 was an important one for the chemotherapy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of systemic bacterial infections. Although antiseptics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had been applied topically to prevent the growth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of microorganisms, the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existing antiseptics were ineffective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against systemic bacterial infections. In 1935, the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dye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protosil</w:t>
      </w:r>
      <w:proofErr w:type="spellEnd"/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was shown to protect mice against systemic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streptococcal infection and to be curative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 patients suffering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from such infections. It was soon found that </w:t>
      </w:r>
      <w:proofErr w:type="spellStart"/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protosil</w:t>
      </w:r>
      <w:proofErr w:type="spellEnd"/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was cleaved in the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body to release </w:t>
      </w:r>
      <w:r w:rsidRPr="007F153D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p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-aminobenzene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sulfonamide (sulfanilamide), which was shown to have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antibacterial activity. This first “sulfa” drug ushered in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 new era in medicine. Compounds produced by microorganisms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(antibiotics) were eventually discovered to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inhibit the growth of other microorganisms. For example,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Alexander Fleming was the first to realize the mold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Penicillium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prevented the multiplication of staphylococci.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 concentrate from a culture of this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mold was prepared,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and the remarkable antibacterial activity and lack of toxicity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of the first antibiotic, penicillin, were demonstrated.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Streptomycin and the tetracyclines were developed in the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1940s and 1950s, followed rapidly by the development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of additional aminoglycosides, semisynthetic </w:t>
      </w:r>
      <w:proofErr w:type="spellStart"/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penicillins</w:t>
      </w:r>
      <w:proofErr w:type="spellEnd"/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,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cephalosporins, quinolones, and other antimicrobials.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All these antibacterial agents greatly increased the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range of infectious diseases that could be prevented or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treated. Although the development of new antibacterial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antibiotics has lagged in recent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years, some new classes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of agents have been introduced, including the ketolides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(e.g., </w:t>
      </w:r>
      <w:r w:rsidRPr="007F153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>telithromycin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), </w:t>
      </w:r>
      <w:proofErr w:type="spellStart"/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glycylcyclines</w:t>
      </w:r>
      <w:proofErr w:type="spellEnd"/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(tigecycline),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and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lipopeptides </w:t>
      </w:r>
      <w:r w:rsidRPr="007F153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>(daptomycin).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Unfortunately,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with the introduction of new chemotherapeutic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agents, bacteria have shown a remarkable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ability to develop resistance. The most common resistance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mechanisms are summarized</w:t>
      </w:r>
      <w:r w:rsidR="005D725F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.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gramStart"/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Thus</w:t>
      </w:r>
      <w:proofErr w:type="gramEnd"/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antibiotic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therapy will not be the magical cure for all infections, as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predicted; rather, it is only one weapon, albeit an important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one, against infectious diseases. It is also important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to recognize that because resistance to antibiotics is often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not predictable, physicians must rely on their clinical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experience for the initial selection of </w:t>
      </w:r>
      <w:r w:rsidRPr="007F153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>empirical therapy</w:t>
      </w:r>
    </w:p>
    <w:p w14:paraId="70D87066" w14:textId="585552AE" w:rsidR="003238CF" w:rsidRDefault="00CE3E01" w:rsidP="007F153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lastRenderedPageBreak/>
        <w:t>and then refine their treatment by selecting antibiotics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demonstrated to be active by in vitro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susceptibility tests.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Guidelines for the management of infections caused by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specific organisms are discussed in the relevant chapters</w:t>
      </w:r>
      <w:r w:rsid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of this text.</w:t>
      </w:r>
    </w:p>
    <w:p w14:paraId="45235369" w14:textId="77777777" w:rsidR="005D725F" w:rsidRPr="007F153D" w:rsidRDefault="005D725F" w:rsidP="007F153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</w:p>
    <w:p w14:paraId="0E71B995" w14:textId="27A5CF33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ANTIMICROBIAL DRUGS USED IN COMBINATION</w:t>
      </w:r>
    </w:p>
    <w:p w14:paraId="3BE935F0" w14:textId="77777777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Indications</w:t>
      </w:r>
    </w:p>
    <w:p w14:paraId="79DDC14D" w14:textId="482A0566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Possible reasons for using two or more antimicrobials simultaneously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instead of a single drug are as follows:</w:t>
      </w:r>
    </w:p>
    <w:p w14:paraId="27590CD4" w14:textId="001DFDAE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1. To give prompt treatment in desperately ill patients suspected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of having serious microbial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infections. A good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guess, usually based on available antibiogram data, about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 most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probable two or three pathogens, is made, and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drugs are aimed at those organisms. Before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such treatment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is started, it is essential that adequate specimens be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obtained for identifying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etiologic agent in the laboratory.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Suspected gram-negative or staphylococcal sepsis in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immunocompromised patients and bacterial meningitis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 children are the foremost indications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 this category.</w:t>
      </w:r>
    </w:p>
    <w:p w14:paraId="783C1487" w14:textId="21B06A3E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2. To delay the emergence of microbial mutants resistant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to one drug in chronic infections by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 use of a second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or third non–cross-reacting drug. The most prominent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example is treatment for active tuberculosis.</w:t>
      </w:r>
    </w:p>
    <w:p w14:paraId="6753A2AD" w14:textId="4B00ED18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3. To treat mixed infections, particularly those after massive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trauma or those involving vascular structures. Each drug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is aimed at an important pathogenic microorganism.</w:t>
      </w:r>
    </w:p>
    <w:p w14:paraId="5DAC82E2" w14:textId="2028AF04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4. To achieve bactericidal synergism or to provide bactericidal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action (see later discussion). In a few infections, such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as enterococcal sepsis, a combination of drugs is more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likely to eradicate the infection than either drug used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alone. Such synergism is only partially predictable, and a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given drug pair may be synergistic for only a single microbial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strain. Occasionally, simultaneous use of two drugs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permits significant reduction in dose and thus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avoids toxicity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but still provides satisfactory antimicrobial action.</w:t>
      </w:r>
    </w:p>
    <w:p w14:paraId="7E9E8B3B" w14:textId="77777777" w:rsidR="005D725F" w:rsidRDefault="005D725F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</w:p>
    <w:p w14:paraId="3E260B7E" w14:textId="7743C9B8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Disadvantages</w:t>
      </w:r>
    </w:p>
    <w:p w14:paraId="40D87CD0" w14:textId="42CA9B20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 following disadvantages of using antimicrobial drugs in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combinations must always be considered:</w:t>
      </w:r>
    </w:p>
    <w:p w14:paraId="42F46D73" w14:textId="40353EC0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1. The physician may believe that because several drugs are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already being given, everything possible has been done for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 patient, leading to relaxation of the effort to establish a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specific diagnosis. It may also give a false sense of security.</w:t>
      </w:r>
    </w:p>
    <w:p w14:paraId="552EED77" w14:textId="04A00382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2. The more drugs that are administered, the greater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chance for drug reactions to occur or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for the patient to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become sensitized to drugs.</w:t>
      </w:r>
    </w:p>
    <w:p w14:paraId="0458D8C8" w14:textId="77777777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3. The cost is unnecessarily high.</w:t>
      </w:r>
    </w:p>
    <w:p w14:paraId="7A032A9F" w14:textId="3CB125A2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4. Antimicrobial combinations usually accomplish no more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than an effective single drug.</w:t>
      </w:r>
    </w:p>
    <w:p w14:paraId="66AA7EC1" w14:textId="046F091D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5. Very rarely, one drug may antagonize a second drug given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simultaneously (see later).</w:t>
      </w:r>
    </w:p>
    <w:p w14:paraId="35CD8DAD" w14:textId="77777777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Mechanisms</w:t>
      </w:r>
    </w:p>
    <w:p w14:paraId="13FAC5D3" w14:textId="401935E0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When two antimicrobial agents act simultaneously on a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homogeneous microbial population,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 effect may be one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of the following: (1) indifference 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ie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 the combined action is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no greater than that of the more effective agent when used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alone), (2) additive 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ie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 the combined action is equivalent to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 sum of the actions of each drug when used alone), (3) synergism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ie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combined action is significantly greater than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 sum of both effects), or (4) antagonism 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ie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 the combined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action is less than that of the more effective agent when used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alone). All these effects may be observed in vitro (particularly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 terms of bactericidal rate) and in vivo.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effects that can be achieved with combinations of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antimicrobial drugs vary with different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lastRenderedPageBreak/>
        <w:t>combinations and are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specific for each strain of microorganism. Thus, no combination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is uniformly synergistic.</w:t>
      </w:r>
    </w:p>
    <w:p w14:paraId="3A5CE793" w14:textId="48667DD3" w:rsidR="00DD766A" w:rsidRPr="007F153D" w:rsidRDefault="00CE3E01" w:rsidP="007F153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Combined therapy should not be used indiscriminately;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every effort should be made to use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single antibiotic of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choice. In resistant infections, detailed laboratory study can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at times define synergistic drug combinations that may be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essential to eradicate the microorganisms.</w:t>
      </w:r>
    </w:p>
    <w:p w14:paraId="5A860F11" w14:textId="77777777" w:rsidR="005D725F" w:rsidRDefault="005D725F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</w:p>
    <w:p w14:paraId="348DB457" w14:textId="23504C26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Antimicrobial synergism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can occur in several types of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situations.</w:t>
      </w:r>
    </w:p>
    <w:p w14:paraId="39C9F227" w14:textId="55DD9E76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1. Two drugs may sequentially block a microbial metabolic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pathway. Sulfonamides inhibit the use of extracellular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PABA by some microbes for the synthesis of folic acid. Trimethoprim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or pyrimethamine inhibits the next metabolic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step, the reduction of dihydro- to 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tetrahydrofolic</w:t>
      </w:r>
      <w:proofErr w:type="spellEnd"/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acid.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simultaneous use of a sulfonamide plus trimethoprim is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effective in some bacterial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(shigellosis, salmonellosis, </w:t>
      </w:r>
      <w:r w:rsidRPr="007F153D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>Serratia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species) and some other infections 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pneumocystosis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malaria). Pyrimethamine plus a sulfonamide or clindamycin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is used in toxoplasmosis.</w:t>
      </w:r>
    </w:p>
    <w:p w14:paraId="0539382E" w14:textId="61C989D1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2. A drug such as a cell wall inhibitor (a penicillin or cephalosporin)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may enhance the entry of an aminoglycoside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into bacteria and thus produce synergistic effects. 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Penicillins</w:t>
      </w:r>
      <w:proofErr w:type="spellEnd"/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enhance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uptake of gentamicin or streptomycin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by enterococci. Thus, ampicillin plus gentamicin may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be essential for the eradication of </w:t>
      </w:r>
      <w:r w:rsidRPr="007F153D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>Enterococcus faecalis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particularly in endocarditis. Similarly,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piperacillin plus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tobramycin may be synergistic against some strains of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Pseudomonas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species.</w:t>
      </w:r>
    </w:p>
    <w:p w14:paraId="6D011404" w14:textId="7AF3224B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3. One drug may affect the cell membrane and facilitate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entry of the second drug.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combined effect may then be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greater than the sum of its parts. For example, amphotericin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has been synergistic with flucytosine against certain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fungi 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, </w:t>
      </w:r>
      <w:r w:rsidRPr="007F153D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Cryptococcus, Candida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species).</w:t>
      </w:r>
    </w:p>
    <w:p w14:paraId="542E2F7F" w14:textId="1EE208AF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4. One drug may prevent the inactivation of a second drug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by microbial enzymes. Thus,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inhibitors of β-lactamase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 clavulanic acid, sulbactam, tazobactam) can protect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amoxicillin, ticarcillin, or piperacillin and other β-lactam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agents from inactivation by β-lactamases. In such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circumstances,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 form of synergism takes place.</w:t>
      </w:r>
    </w:p>
    <w:p w14:paraId="7751D249" w14:textId="77777777" w:rsidR="005D725F" w:rsidRDefault="005D725F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</w:p>
    <w:p w14:paraId="54082381" w14:textId="63FCE108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Antimicrobial antagonism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is sharply limited by time–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dose relationships and is therefore a rare event in clinical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antimicrobial therapy. Antagonism resulting in higher morbidity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and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mortality rates has been most clearly demonstrated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 bacterial meningitis. It occurred when a bacteriostatic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drug (which inhibited protein synthesis in bacteria) such as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chloramphenicol or tetracycline was given with a bactericidal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drug such as a penicillin or an aminoglycoside.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Antagonism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occurred mainly if the bacteriostatic drug reached the site of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infection before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bactericidal drug, if the killing of bacteria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was essential for cure, and if only minimal effective doses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of either drug in the pair were present. Another example is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combining β-lactam drugs in treatment of </w:t>
      </w:r>
      <w:r w:rsidRPr="007F153D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>P aeruginosa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infections 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 imipenem and piperacillin because imipenem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is a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potent β-lactamase inducer and the β-lactamase breaks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down the less stable piperacillin).</w:t>
      </w:r>
    </w:p>
    <w:p w14:paraId="42DA1E60" w14:textId="77777777" w:rsidR="005D725F" w:rsidRDefault="005D725F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</w:p>
    <w:p w14:paraId="5746E999" w14:textId="18FD2751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ANTIMICROBIAL CHEMOPROPHYLAXIS</w:t>
      </w:r>
    </w:p>
    <w:p w14:paraId="4599B42E" w14:textId="00637B99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Anti-infective chemoprophylaxis implies the administration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of antimicrobial drugs to prevent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infection. In a broader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sense, it also includes the use of antimicrobial drugs soon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after the acquisition of pathogenic microorganisms 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 after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compound fracture) but before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development of signs of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infection.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Useful chemoprophylaxis is limited to the action of a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specific drug on a specific organism. An effort to prevent all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types of microorganisms in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environment from establishing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themselves only selects the most drug-resistant organisms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as the cause of a subsequent infection. In all proposed uses of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prophylactic antimicrobials, the risk of the patient’s acquiring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an infection must be weighed against the toxicity, cost,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inconvenience, and enhanced risk of superinfection resulting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from the prophylactic drug.</w:t>
      </w:r>
    </w:p>
    <w:p w14:paraId="6545C4B2" w14:textId="77777777" w:rsidR="005D725F" w:rsidRDefault="005D725F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</w:p>
    <w:p w14:paraId="0C55F525" w14:textId="44CC1B72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Prophylaxis in Persons of Normal</w:t>
      </w:r>
      <w:r w:rsid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Susceptibility Exposed to a Specific</w:t>
      </w:r>
      <w:r w:rsid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Pathogen</w:t>
      </w:r>
    </w:p>
    <w:p w14:paraId="1214463A" w14:textId="1A337D82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 this category, a specific drug is administered to prevent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one specific infection. Particular examples are the injection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of benzathine penicillin G intramuscularly once every 3 to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4 weeks to prevent reinfection with group A hemolytic streptococci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 rheumatic patients; prevention of meningitis by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eradicating the meningococcal carrier state with rifampin or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ciprofloxacin;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prevention of syphilis by the injection of benzathine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penicillin G; prevention of plague pneumonia by oral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administration of tetracycline in persons exposed to infectious</w:t>
      </w:r>
      <w:r w:rsidR="005D725F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droplets; prevention of leptospirosis with oral administration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of doxycycline in a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hyperendemic environment; and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prevention of malaria in travelers to endemic areas of the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world with various agents such as 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Malarone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.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Early treatment of an asymptomatic infection is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sometimes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called </w:t>
      </w:r>
      <w:r w:rsidRPr="007F153D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>prophylaxis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. Thus, administration of INH, 6 to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10 mg/kg/day (maximum, 300 mg/day) orally for 6 months,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to an asymptomatic person who converts from a negative to a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positive tuberculin skin test result may prevent later clinically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active tuberculosis.</w:t>
      </w:r>
    </w:p>
    <w:p w14:paraId="18792280" w14:textId="77777777" w:rsidR="005D725F" w:rsidRDefault="005D725F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</w:p>
    <w:p w14:paraId="058E318C" w14:textId="4462AC4F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Prophylaxis in Persons of Increased</w:t>
      </w:r>
      <w:r w:rsid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Susceptibility</w:t>
      </w:r>
    </w:p>
    <w:p w14:paraId="06426FDC" w14:textId="596D4D2D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Certain anatomic or functional abnormalities predispose to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serious infections. It may be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feasible to prevent or abort such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infections by giving a specific drug for short periods. Some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important examples are listed here.</w:t>
      </w:r>
    </w:p>
    <w:p w14:paraId="70D7808F" w14:textId="166BDE58" w:rsidR="007F153D" w:rsidRPr="007F153D" w:rsidRDefault="00CE3E01" w:rsidP="007F1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Heart Disease</w:t>
      </w:r>
      <w:r w:rsidR="007F153D" w:rsidRP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</w:p>
    <w:p w14:paraId="6DF076CC" w14:textId="69428149" w:rsidR="00CE3E01" w:rsidRPr="009378E7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Persons with heart valve abnormalities or with prosthetic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heart valves are unusually susceptible to implantation of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microorganisms circulating in the bloodstream. Thus, infective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endocarditis can sometimes be prevented if the proper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drug can be used during periods of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bacteremia. Large numbers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of 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viridans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streptococci are pushed into the circulation during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dental procedures and operations on the mouth or throat.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At such times, the increased risk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warrants the use of a prophylactic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antimicrobial drug aimed at 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viridans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streptococci.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For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example, amoxicillin taken orally before the procedure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and 2 hours later can be effective. Persons allergic to penicillin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can take a macrolide or clindamycin orally (see American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Heart</w:t>
      </w:r>
      <w:r w:rsid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Association recommendations at </w:t>
      </w:r>
      <w:hyperlink r:id="rId8" w:history="1">
        <w:r w:rsidR="007F153D" w:rsidRPr="00ED14BF">
          <w:rPr>
            <w:rStyle w:val="Hyperlink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http://circ.ahajournals</w:t>
        </w:r>
      </w:hyperlink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.</w:t>
      </w:r>
      <w:r w:rsid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org/content/118/8/887). Recommendations for prophylaxis</w:t>
      </w:r>
      <w:r w:rsidR="009378E7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following non-dental procedures vary depending upon</w:t>
      </w:r>
      <w:r w:rsidR="009378E7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 type of valvular abnormality. For example, prophylaxis is</w:t>
      </w:r>
      <w:r w:rsidR="009378E7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no longer recommended following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gastrointestinal or genitourinary</w:t>
      </w:r>
      <w:r w:rsidR="009378E7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procedures in patients with rheumatic valvular</w:t>
      </w:r>
    </w:p>
    <w:p w14:paraId="45461FB5" w14:textId="4034017A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disease but may still be indicated in patients with congenital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heart disease or those patients with prosthetic material. The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reader is referred to the latest AHA guidelines for the most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current recommendations.</w:t>
      </w:r>
    </w:p>
    <w:p w14:paraId="166929D1" w14:textId="0652B518" w:rsidR="00CE3E01" w:rsidRPr="009378E7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B. Respiratory Tract Disease</w:t>
      </w:r>
      <w:r w:rsidR="009378E7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Trimethoprim–sulfamethoxazole orally or pentamidine by</w:t>
      </w:r>
      <w:r w:rsidR="009378E7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aerosol is used for prophylaxis for pneumocystis pneumonia</w:t>
      </w:r>
      <w:r w:rsidR="009378E7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 AIDS patients.</w:t>
      </w:r>
    </w:p>
    <w:p w14:paraId="5B75F3C4" w14:textId="77777777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C. Recurrent Urinary Tract Infection</w:t>
      </w:r>
    </w:p>
    <w:p w14:paraId="48C36230" w14:textId="126F7B81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For certain women who are subject to frequently recurring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urinary tract infections, the oral intake either daily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or three times weekly of nitrofurantoin or trimethoprim–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sulfamethoxazole can markedly reduce the frequency of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symptomatic recurrences over long periods.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Certain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women tend to develop symptoms of cystitis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after sexual intercourse. The ingestion of a single dose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of antimicrobial drug 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 nitrofurantoin, trimethoprim–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sulfamethoxazole) can prevent postcoital cystitis by early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inhibition of growth of bacteria moved from the introitus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into the proximal urethra or bladder during intercourse.</w:t>
      </w:r>
    </w:p>
    <w:p w14:paraId="6A8F7D48" w14:textId="459EFB1E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D. Opportunistic Infections in</w:t>
      </w:r>
      <w:r w:rsidR="009378E7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Severe Granulocytopenia</w:t>
      </w:r>
    </w:p>
    <w:p w14:paraId="6C5BB5CD" w14:textId="3E0DC6F8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lastRenderedPageBreak/>
        <w:t>Immunocompromised patients receiving organ transplants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or antineoplastic chemotherapy often develop profound leukopenia.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When the neutrophil count falls below 1000/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μL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they become unusually susceptible to opportunistic infections,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most often gram-negative sepsis. Such persons are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sometimes given a fluoroquinolone, a cephalosporin, or a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drug combination 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 vancomycin, gentamicin, cephalosporin)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directed at the most prevalent opportunists at the earliest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sign—or even without clinical evidence—of infection.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This is continued for several days until the granulocyte count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rises again. Several studies suggest that there is benefit from</w:t>
      </w:r>
    </w:p>
    <w:p w14:paraId="36C45191" w14:textId="1D3500B5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empiric therapy. Two clinical cases—liver and bone marrow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transplants—presented illustrate the infections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that occur in these patients and the antimicrobials used for</w:t>
      </w:r>
    </w:p>
    <w:p w14:paraId="2479ECFD" w14:textId="77777777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prophylaxis and treatment.</w:t>
      </w:r>
    </w:p>
    <w:p w14:paraId="73597AA2" w14:textId="77777777" w:rsidR="005D725F" w:rsidRDefault="005D725F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</w:p>
    <w:p w14:paraId="74855A0F" w14:textId="1568DFAC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Prophylaxis in Surgery</w:t>
      </w:r>
    </w:p>
    <w:p w14:paraId="38E8043B" w14:textId="3440A9D6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 major portion of all antimicrobial drugs used in hospitals is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used on surgical services with the stated intent of prophylaxis.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Several general features of surgical prophylaxis merit</w:t>
      </w:r>
    </w:p>
    <w:p w14:paraId="37F719BC" w14:textId="77777777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consideration:</w:t>
      </w:r>
    </w:p>
    <w:p w14:paraId="1443CBAD" w14:textId="7D289518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1. The benefit of prophylactic antimicrobial agents for clean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surgery has been established.</w:t>
      </w:r>
    </w:p>
    <w:p w14:paraId="6F600894" w14:textId="6E3E44ED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2. The type of antimicrobial agent that is chosen depends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upon several factors: type of surgery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and the knowledge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of the endogenous microbiota; types of pathogens causing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wound infections and their resistance patterns in a particular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institution; patient allergies; penetration of the agent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at the surgical site; cost and other considerations.</w:t>
      </w:r>
    </w:p>
    <w:p w14:paraId="000F7B9B" w14:textId="6FFDAF72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3. Cephalosporins, most commonly cefazolin, are the preferred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agents.</w:t>
      </w:r>
    </w:p>
    <w:p w14:paraId="56DD20D8" w14:textId="24789347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4. The goal with administration of prophylactic agents is to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ensure adequate tissue levels of the drug during the entire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operative procedure. This may require redosing during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long procedures (see list of recommendations for agents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and dosing schedules in 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Bratzler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et al).</w:t>
      </w:r>
    </w:p>
    <w:p w14:paraId="170E5301" w14:textId="71376EE0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5. The initial dose of systemic prophylactic antibiotic should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be given within 60 min of the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incision or within 120 min if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vancomycin or a fluoroquinolone is used.</w:t>
      </w:r>
    </w:p>
    <w:p w14:paraId="4B04CC8D" w14:textId="03E52BBF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6. Prolonged administration of antimicrobial drugs tends to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alter the normal microbiota of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organ systems, suppressing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 susceptible microorganisms and favoring the implantation</w:t>
      </w:r>
    </w:p>
    <w:p w14:paraId="19AC16B1" w14:textId="421D1820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of drug-resistant ones. Thus, antimicrobial prophylaxis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should usually continue for no more than 24 h after the procedure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and ideally should be given only intraoperatively.</w:t>
      </w:r>
    </w:p>
    <w:p w14:paraId="75A0E754" w14:textId="5947D1FB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7. Systemic levels of antimicrobial drugs usually do not prevent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wound infection, pneumonia,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or urinary tract infection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if physiologic abnormalities or foreign bodies are present.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Topical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antimicrobials for prophylaxis (</w:t>
      </w:r>
      <w:proofErr w:type="spellStart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, intravenous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catheter site, closed urinary drainage, within a surgical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wound, acrylic bone cement) have limited usefulness.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Recent studies have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demonstrated increased morbidity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and mortality with </w:t>
      </w:r>
      <w:r w:rsidRPr="007F153D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S aureus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postsurgical wound infections,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particularly if the infection is caused by MRSA. Many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hospitals perform presurgical nares surveillance screening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for MRSA using either culture or nucleic acid amplification.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Patients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who are found to be colonized are treated with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mupirocin ointment to the nares for 3–5 days along with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chlorhexidine for bathing in an attempt to eliminate colonization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before the procedure. Some investigators advocate the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addition of vancomycin to a cephalosporin for intraoperative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prophylaxis in patients known to be MRSA carriers.</w:t>
      </w:r>
    </w:p>
    <w:p w14:paraId="275C757D" w14:textId="77777777" w:rsidR="005D725F" w:rsidRDefault="005D725F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</w:p>
    <w:p w14:paraId="38D77787" w14:textId="4AC29F0C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Disinfectants</w:t>
      </w:r>
    </w:p>
    <w:p w14:paraId="0E5023F0" w14:textId="0C207B2B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Disinfectants and antiseptics differ from systemically active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antimicrobials in that they possess little selective toxicity.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They are toxic not only for microbial pathogens but for host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cells as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well. Therefore, they can be used only to inactivate</w:t>
      </w:r>
    </w:p>
    <w:p w14:paraId="2BF555AD" w14:textId="499D8252" w:rsidR="00CE3E01" w:rsidRPr="007F153D" w:rsidRDefault="00CE3E01" w:rsidP="009378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lastRenderedPageBreak/>
        <w:t>microorganisms in the inanimate environment or, to a limited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extent, on skin surfaces. They cannot be administered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systemically.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 antimicrobial action of disinfectants is determined by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concentration, time, and temperature, and the evaluation of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their effect may be complex. A few examples of disinfectants that</w:t>
      </w:r>
      <w:r w:rsidR="009378E7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are used in medicine or public health. </w:t>
      </w:r>
    </w:p>
    <w:p w14:paraId="3A9DF29A" w14:textId="23078EF4" w:rsidR="00124D6C" w:rsidRPr="007F153D" w:rsidRDefault="009378E7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24D6C"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Antibacterial spectrum: </w:t>
      </w:r>
      <w:r w:rsidR="00124D6C"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Range of activity of an antimicrobial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124D6C"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against bacteria. A </w:t>
      </w:r>
      <w:r w:rsidR="00124D6C"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broad-spectrum </w:t>
      </w:r>
      <w:r w:rsidR="00124D6C"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antibacterial drug can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124D6C"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inhibit a variety of gram-positive and gram-negative bacteria,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124D6C"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whereas a </w:t>
      </w:r>
      <w:r w:rsidR="00124D6C"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narrow-spectrum </w:t>
      </w:r>
      <w:r w:rsidR="00124D6C"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drug is active against a limited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124D6C"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variety of bacteria.</w:t>
      </w:r>
    </w:p>
    <w:p w14:paraId="789513E9" w14:textId="4948A2E9" w:rsidR="00124D6C" w:rsidRPr="007F153D" w:rsidRDefault="009378E7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="00124D6C"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Bacteriostatic antibiotic: </w:t>
      </w:r>
      <w:r w:rsidR="00124D6C"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Antibiotic that inhibits the growth of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124D6C"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bacteria but does not kill.</w:t>
      </w:r>
    </w:p>
    <w:p w14:paraId="0A29BAB3" w14:textId="77777777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Bactericidal antibiotic: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Antibiotic that kills bacteria.</w:t>
      </w:r>
    </w:p>
    <w:p w14:paraId="46015AFC" w14:textId="67A521DE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Minimum inhibitory concentration (MIC):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Determined by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exposing a standardized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suspension of bacteria to a series of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antimicrobial dilutions. The lowest antibiotic concentration that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inhibits the growth of the bacteria is the MIC.</w:t>
      </w:r>
    </w:p>
    <w:p w14:paraId="15A25608" w14:textId="602C8741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Minimum bactericidal concentration (MBC):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Determined by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exposing a standardized suspension of bacteria to a series of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antimicrobial dilutions. The lowest antibiotic concentration that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kills 99.9% of the population is referred to as the MBC.</w:t>
      </w:r>
    </w:p>
    <w:p w14:paraId="62A94020" w14:textId="3789E957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Antibiotic combinations: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Combinations of antibiotics that may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be used to (1) broaden the antibacterial spectrum for empirical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therapy or the treatment of polymicrobial infections, (2)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prevent the emergence of resistant organisms during therapy,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and (3) achieve a synergistic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killing effect.</w:t>
      </w:r>
    </w:p>
    <w:p w14:paraId="166578A9" w14:textId="785AC7A6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Antibiotic synergism: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Combinations of two antibiotics that have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enhanced bactericidal activity when tested together compared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with the activity of each antibiotic.</w:t>
      </w:r>
    </w:p>
    <w:p w14:paraId="767EBF72" w14:textId="4842FDAF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Antibiotic antagonism: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Combination of antibiotics in which the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activity of one antibiotic interferes with the activity of the other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(e.g., the sum of the activity is less than the activity of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the most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active individual drug).</w:t>
      </w:r>
    </w:p>
    <w:p w14:paraId="192CC93F" w14:textId="314FB4CB" w:rsidR="00DD766A" w:rsidRPr="007F153D" w:rsidRDefault="00124D6C" w:rsidP="009378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β-Lactamase: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 enzyme that hydrolyzes the β-lactam ring in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the β-lactam class of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antibiotics, inactivating the antibiotic. The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enzymes specific for </w:t>
      </w:r>
      <w:proofErr w:type="spellStart"/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penicillins</w:t>
      </w:r>
      <w:proofErr w:type="spellEnd"/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, cephalosporins,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and carbapenems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are the </w:t>
      </w:r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penicillinases, cephalosporinases,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and </w:t>
      </w:r>
      <w:proofErr w:type="spellStart"/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carbapenemases</w:t>
      </w:r>
      <w:proofErr w:type="spellEnd"/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,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respectively.</w:t>
      </w:r>
    </w:p>
    <w:p w14:paraId="03108801" w14:textId="6B960519" w:rsidR="00124D6C" w:rsidRPr="007F153D" w:rsidRDefault="00124D6C" w:rsidP="00124D6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Basic Mechanisms of Antibiotic Action</w:t>
      </w:r>
    </w:p>
    <w:p w14:paraId="2A562254" w14:textId="18038F42" w:rsidR="00124D6C" w:rsidRPr="007F153D" w:rsidRDefault="00124D6C" w:rsidP="00124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noProof/>
          <w:sz w:val="28"/>
          <w:szCs w:val="28"/>
          <w:lang w:val="az-Latn-AZ"/>
        </w:rPr>
        <w:lastRenderedPageBreak/>
        <w:drawing>
          <wp:inline distT="0" distB="0" distL="0" distR="0" wp14:anchorId="5B9BA3C7" wp14:editId="49F2142E">
            <wp:extent cx="6324314" cy="9537895"/>
            <wp:effectExtent l="0" t="0" r="635" b="6350"/>
            <wp:docPr id="599505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051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6152" cy="960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48DBE" w14:textId="77777777" w:rsidR="005D725F" w:rsidRDefault="005D725F" w:rsidP="009206B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</w:p>
    <w:p w14:paraId="7E103517" w14:textId="77777777" w:rsidR="005D725F" w:rsidRDefault="005D725F" w:rsidP="009206B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</w:p>
    <w:p w14:paraId="66313D5E" w14:textId="35155E61" w:rsidR="00DD766A" w:rsidRPr="007F153D" w:rsidRDefault="00124D6C" w:rsidP="009206B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Basic sites of antibiotic activity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</w:t>
      </w:r>
    </w:p>
    <w:p w14:paraId="23737B14" w14:textId="3B2460ED" w:rsidR="00124D6C" w:rsidRPr="007F153D" w:rsidRDefault="00124D6C" w:rsidP="00920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noProof/>
          <w:sz w:val="28"/>
          <w:szCs w:val="28"/>
          <w:lang w:val="az-Latn-AZ"/>
        </w:rPr>
        <w:drawing>
          <wp:inline distT="0" distB="0" distL="0" distR="0" wp14:anchorId="7DA7311F" wp14:editId="69742D19">
            <wp:extent cx="5105400" cy="3235569"/>
            <wp:effectExtent l="0" t="0" r="0" b="3175"/>
            <wp:docPr id="151010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05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2436" cy="325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FCFCE" w14:textId="77777777" w:rsidR="00124D6C" w:rsidRPr="007F153D" w:rsidRDefault="00124D6C" w:rsidP="00920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0C23EE" w14:textId="3D5984D0" w:rsidR="00DD766A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Mechanisms of Antibiotic Resistance</w:t>
      </w:r>
    </w:p>
    <w:p w14:paraId="12DF8DEB" w14:textId="11EF7CEC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Inactivation of the antibiotic by bacterial enzymes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Barriers prevent antibiotic access to the target</w:t>
      </w:r>
    </w:p>
    <w:p w14:paraId="270737FB" w14:textId="05BDB933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Bacteria pump antibiotic out of cell before bacterial growth is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inhibited</w:t>
      </w:r>
    </w:p>
    <w:p w14:paraId="4B9B8297" w14:textId="77777777" w:rsidR="009378E7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Antibiotic target is altered so it is not recognized by the antibiotic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</w:p>
    <w:p w14:paraId="1B2DBCF9" w14:textId="67564A05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Antibiotic target is produced in excess so bacterial growth is not</w:t>
      </w:r>
      <w:r w:rsidR="009378E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affected by the antibiotic</w:t>
      </w:r>
    </w:p>
    <w:p w14:paraId="44B755A1" w14:textId="77777777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Antibiotic target is no longer needed for bacterial survival</w:t>
      </w:r>
    </w:p>
    <w:p w14:paraId="3E6CCEEC" w14:textId="485CCBAB" w:rsidR="00124D6C" w:rsidRPr="007F153D" w:rsidRDefault="00124D6C" w:rsidP="00124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F15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Bacteria enter stage of dormancy in the presence of the antibiotic</w:t>
      </w:r>
    </w:p>
    <w:p w14:paraId="0ECB20B4" w14:textId="77777777" w:rsidR="00DD766A" w:rsidRPr="007F153D" w:rsidRDefault="00DD766A" w:rsidP="00920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43437D" w14:textId="04DB8146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 xml:space="preserve">Selected Examples of Cephalosporins and </w:t>
      </w:r>
      <w:proofErr w:type="spellStart"/>
      <w:r w:rsidRPr="007F153D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Cephamycins</w:t>
      </w:r>
      <w:proofErr w:type="spellEnd"/>
    </w:p>
    <w:p w14:paraId="003D5B5F" w14:textId="7F52B932" w:rsidR="00CE3E01" w:rsidRPr="007F153D" w:rsidRDefault="00CE3E01" w:rsidP="00CE3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az-Latn-AZ"/>
        </w:rPr>
        <w:drawing>
          <wp:inline distT="0" distB="0" distL="0" distR="0" wp14:anchorId="2397BFA8" wp14:editId="4F40E163">
            <wp:extent cx="6141720" cy="3692769"/>
            <wp:effectExtent l="0" t="0" r="0" b="3175"/>
            <wp:docPr id="1164262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627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0917" cy="372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2588F" w14:textId="77777777" w:rsidR="00F20E57" w:rsidRPr="007F153D" w:rsidRDefault="00F20E57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E80317E" w14:textId="77777777" w:rsidR="00CE3E01" w:rsidRPr="007F153D" w:rsidRDefault="00CE3E01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39F4592" w14:textId="25977D3C" w:rsidR="00CE3E01" w:rsidRPr="007F153D" w:rsidRDefault="00CE3E01" w:rsidP="00CE3E01">
      <w:pPr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Other β-Lactam Antibiotics</w:t>
      </w:r>
    </w:p>
    <w:p w14:paraId="15C526F8" w14:textId="70A89F9D" w:rsidR="00CE3E01" w:rsidRPr="007F153D" w:rsidRDefault="00CE3E01" w:rsidP="00CE3E0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az-Latn-AZ"/>
        </w:rPr>
        <w:drawing>
          <wp:inline distT="0" distB="0" distL="0" distR="0" wp14:anchorId="10002BF8" wp14:editId="2392AB41">
            <wp:extent cx="5514975" cy="2495550"/>
            <wp:effectExtent l="0" t="0" r="9525" b="0"/>
            <wp:docPr id="107489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99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5747" cy="249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D2EEB" w14:textId="77777777" w:rsidR="00CE3E01" w:rsidRPr="007F153D" w:rsidRDefault="00CE3E01" w:rsidP="00CE3E0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</w:p>
    <w:p w14:paraId="7867906C" w14:textId="37FB8151" w:rsidR="00CE3E01" w:rsidRPr="007F153D" w:rsidRDefault="00CE3E01" w:rsidP="00CE3E01">
      <w:pPr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Inhibitors of Protein Synthesis</w:t>
      </w:r>
    </w:p>
    <w:p w14:paraId="2E9653FA" w14:textId="124F2055" w:rsidR="00CE3E01" w:rsidRPr="007F153D" w:rsidRDefault="00CE3E01" w:rsidP="00CE3E0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az-Latn-AZ"/>
        </w:rPr>
        <w:drawing>
          <wp:inline distT="0" distB="0" distL="0" distR="0" wp14:anchorId="00982125" wp14:editId="4FE56B1C">
            <wp:extent cx="6295001" cy="4536831"/>
            <wp:effectExtent l="0" t="0" r="0" b="0"/>
            <wp:docPr id="881778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7884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8830" cy="455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DE43" w14:textId="77777777" w:rsidR="00CE3E01" w:rsidRPr="007F153D" w:rsidRDefault="00CE3E01" w:rsidP="00CE3E0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</w:p>
    <w:p w14:paraId="108FC191" w14:textId="37CDA01A" w:rsidR="00CE3E01" w:rsidRPr="007F153D" w:rsidRDefault="00CE3E01" w:rsidP="00CE3E01">
      <w:pPr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r w:rsidRPr="007F153D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Quinolones</w:t>
      </w:r>
    </w:p>
    <w:p w14:paraId="7266A8C6" w14:textId="03AB611D" w:rsidR="00CE3E01" w:rsidRPr="007F153D" w:rsidRDefault="00CE3E01" w:rsidP="00CE3E0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7F153D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az-Latn-AZ"/>
        </w:rPr>
        <w:lastRenderedPageBreak/>
        <w:drawing>
          <wp:inline distT="0" distB="0" distL="0" distR="0" wp14:anchorId="60B94AF5" wp14:editId="578D6009">
            <wp:extent cx="6076950" cy="3438525"/>
            <wp:effectExtent l="0" t="0" r="0" b="9525"/>
            <wp:docPr id="1781283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8351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7802" cy="343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F25EF" w14:textId="77777777" w:rsidR="00CE3E01" w:rsidRPr="007F153D" w:rsidRDefault="00CE3E01" w:rsidP="00CE3E0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</w:p>
    <w:p w14:paraId="37EF8C5A" w14:textId="77777777" w:rsidR="00CE3E01" w:rsidRPr="007F153D" w:rsidRDefault="00CE3E01" w:rsidP="00CE3E0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</w:p>
    <w:p w14:paraId="51FC1E25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40629416" w14:textId="77777777" w:rsidR="00CE3E01" w:rsidRPr="007F153D" w:rsidRDefault="00CE3E01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01D541F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10310B92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44959F81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B14EBEF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CAC0206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DD65D9F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03D27482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BCC473D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6D5C8DA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28716ED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43878A18" w14:textId="77777777" w:rsidR="009170E0" w:rsidRPr="007F153D" w:rsidRDefault="009170E0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41C98845" w14:textId="77777777" w:rsidR="00FE2F6B" w:rsidRPr="007F153D" w:rsidRDefault="00FE2F6B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B7D98D4" w14:textId="77777777" w:rsidR="00FE2F6B" w:rsidRPr="007F153D" w:rsidRDefault="00FE2F6B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4C5CEE15" w14:textId="77777777" w:rsidR="00FE2F6B" w:rsidRPr="007F153D" w:rsidRDefault="00FE2F6B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4267937" w14:textId="77777777" w:rsidR="00FE2F6B" w:rsidRPr="007F153D" w:rsidRDefault="00FE2F6B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30507CC" w14:textId="77777777" w:rsidR="00FE2F6B" w:rsidRPr="007F153D" w:rsidRDefault="00FE2F6B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3090EA1" w14:textId="77777777" w:rsidR="00FE2F6B" w:rsidRPr="007F153D" w:rsidRDefault="00FE2F6B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D82F129" w14:textId="77777777" w:rsidR="00FE2F6B" w:rsidRPr="007F153D" w:rsidRDefault="00FE2F6B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136A6DFD" w14:textId="77777777" w:rsidR="00F20E57" w:rsidRPr="007F153D" w:rsidRDefault="00F20E57" w:rsidP="00F4612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sectPr w:rsidR="00F20E57" w:rsidRPr="007F153D" w:rsidSect="008B4DE6">
      <w:pgSz w:w="11906" w:h="16838"/>
      <w:pgMar w:top="720" w:right="42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E4D9" w14:textId="77777777" w:rsidR="00C82E01" w:rsidRDefault="00C82E01" w:rsidP="00F13F13">
      <w:pPr>
        <w:spacing w:after="0" w:line="240" w:lineRule="auto"/>
      </w:pPr>
      <w:r>
        <w:separator/>
      </w:r>
    </w:p>
  </w:endnote>
  <w:endnote w:type="continuationSeparator" w:id="0">
    <w:p w14:paraId="22030EC7" w14:textId="77777777" w:rsidR="00C82E01" w:rsidRDefault="00C82E01" w:rsidP="00F1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B9E7" w14:textId="77777777" w:rsidR="00C82E01" w:rsidRDefault="00C82E01" w:rsidP="00F13F13">
      <w:pPr>
        <w:spacing w:after="0" w:line="240" w:lineRule="auto"/>
      </w:pPr>
      <w:r>
        <w:separator/>
      </w:r>
    </w:p>
  </w:footnote>
  <w:footnote w:type="continuationSeparator" w:id="0">
    <w:p w14:paraId="71DC22EF" w14:textId="77777777" w:rsidR="00C82E01" w:rsidRDefault="00C82E01" w:rsidP="00F1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C9C"/>
    <w:multiLevelType w:val="hybridMultilevel"/>
    <w:tmpl w:val="EBE4471C"/>
    <w:lvl w:ilvl="0" w:tplc="2A64A17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6726"/>
    <w:multiLevelType w:val="hybridMultilevel"/>
    <w:tmpl w:val="D7081024"/>
    <w:lvl w:ilvl="0" w:tplc="72408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071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A42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F0F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6A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E07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2E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ED4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C00A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C4563"/>
    <w:multiLevelType w:val="hybridMultilevel"/>
    <w:tmpl w:val="30044FD8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0748D"/>
    <w:multiLevelType w:val="hybridMultilevel"/>
    <w:tmpl w:val="0992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888"/>
    <w:multiLevelType w:val="hybridMultilevel"/>
    <w:tmpl w:val="1A520814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30847"/>
    <w:multiLevelType w:val="hybridMultilevel"/>
    <w:tmpl w:val="097E9F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2A27"/>
    <w:multiLevelType w:val="hybridMultilevel"/>
    <w:tmpl w:val="60F4E9F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F51D0"/>
    <w:multiLevelType w:val="hybridMultilevel"/>
    <w:tmpl w:val="E3C6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462CC"/>
    <w:multiLevelType w:val="hybridMultilevel"/>
    <w:tmpl w:val="E95631BC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43BBE"/>
    <w:multiLevelType w:val="hybridMultilevel"/>
    <w:tmpl w:val="3C782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14E61"/>
    <w:multiLevelType w:val="hybridMultilevel"/>
    <w:tmpl w:val="3E34D652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62FFB"/>
    <w:multiLevelType w:val="hybridMultilevel"/>
    <w:tmpl w:val="C3788E46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31098"/>
    <w:multiLevelType w:val="hybridMultilevel"/>
    <w:tmpl w:val="830AA5D6"/>
    <w:lvl w:ilvl="0" w:tplc="5D781F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C"/>
    <w:multiLevelType w:val="hybridMultilevel"/>
    <w:tmpl w:val="8A541A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C032C"/>
    <w:multiLevelType w:val="hybridMultilevel"/>
    <w:tmpl w:val="A844B964"/>
    <w:lvl w:ilvl="0" w:tplc="5D781F8E">
      <w:start w:val="1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73B17C3"/>
    <w:multiLevelType w:val="hybridMultilevel"/>
    <w:tmpl w:val="6E203E86"/>
    <w:lvl w:ilvl="0" w:tplc="5D781F8E">
      <w:start w:val="1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37E7631D"/>
    <w:multiLevelType w:val="hybridMultilevel"/>
    <w:tmpl w:val="46B61BCC"/>
    <w:lvl w:ilvl="0" w:tplc="2A64A17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40177"/>
    <w:multiLevelType w:val="hybridMultilevel"/>
    <w:tmpl w:val="533A40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01C46"/>
    <w:multiLevelType w:val="hybridMultilevel"/>
    <w:tmpl w:val="DCD0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D2D74"/>
    <w:multiLevelType w:val="hybridMultilevel"/>
    <w:tmpl w:val="F6C6D4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C64CE"/>
    <w:multiLevelType w:val="hybridMultilevel"/>
    <w:tmpl w:val="FA6A6A00"/>
    <w:lvl w:ilvl="0" w:tplc="5D781F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6B1BC6"/>
    <w:multiLevelType w:val="hybridMultilevel"/>
    <w:tmpl w:val="5782996C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70EE9"/>
    <w:multiLevelType w:val="hybridMultilevel"/>
    <w:tmpl w:val="6E3687E4"/>
    <w:lvl w:ilvl="0" w:tplc="2A64A17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70DAD"/>
    <w:multiLevelType w:val="hybridMultilevel"/>
    <w:tmpl w:val="9B802010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063D6"/>
    <w:multiLevelType w:val="hybridMultilevel"/>
    <w:tmpl w:val="B010DA1A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66307"/>
    <w:multiLevelType w:val="hybridMultilevel"/>
    <w:tmpl w:val="ADFABC50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D1414"/>
    <w:multiLevelType w:val="hybridMultilevel"/>
    <w:tmpl w:val="FFB6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21E27"/>
    <w:multiLevelType w:val="hybridMultilevel"/>
    <w:tmpl w:val="F9B2CEB6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47B3"/>
    <w:multiLevelType w:val="hybridMultilevel"/>
    <w:tmpl w:val="1FB007EA"/>
    <w:lvl w:ilvl="0" w:tplc="2724D2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2540894"/>
    <w:multiLevelType w:val="hybridMultilevel"/>
    <w:tmpl w:val="9AEE32B0"/>
    <w:lvl w:ilvl="0" w:tplc="5D781F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7C085B"/>
    <w:multiLevelType w:val="hybridMultilevel"/>
    <w:tmpl w:val="E76EF048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02558"/>
    <w:multiLevelType w:val="hybridMultilevel"/>
    <w:tmpl w:val="92F2C84C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F0196"/>
    <w:multiLevelType w:val="hybridMultilevel"/>
    <w:tmpl w:val="6A6E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86D47"/>
    <w:multiLevelType w:val="hybridMultilevel"/>
    <w:tmpl w:val="CA0A6E88"/>
    <w:lvl w:ilvl="0" w:tplc="F0DCD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B6DFF"/>
    <w:multiLevelType w:val="hybridMultilevel"/>
    <w:tmpl w:val="FC748B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F133C"/>
    <w:multiLevelType w:val="hybridMultilevel"/>
    <w:tmpl w:val="96BAE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8391E"/>
    <w:multiLevelType w:val="hybridMultilevel"/>
    <w:tmpl w:val="834C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58363">
    <w:abstractNumId w:val="36"/>
  </w:num>
  <w:num w:numId="2" w16cid:durableId="242378084">
    <w:abstractNumId w:val="30"/>
  </w:num>
  <w:num w:numId="3" w16cid:durableId="1251550830">
    <w:abstractNumId w:val="24"/>
  </w:num>
  <w:num w:numId="4" w16cid:durableId="871765092">
    <w:abstractNumId w:val="33"/>
  </w:num>
  <w:num w:numId="5" w16cid:durableId="1831021027">
    <w:abstractNumId w:val="1"/>
  </w:num>
  <w:num w:numId="6" w16cid:durableId="1273169845">
    <w:abstractNumId w:val="32"/>
  </w:num>
  <w:num w:numId="7" w16cid:durableId="119499265">
    <w:abstractNumId w:val="9"/>
  </w:num>
  <w:num w:numId="8" w16cid:durableId="18558034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1296853">
    <w:abstractNumId w:val="4"/>
  </w:num>
  <w:num w:numId="10" w16cid:durableId="803041656">
    <w:abstractNumId w:val="12"/>
  </w:num>
  <w:num w:numId="11" w16cid:durableId="1618246175">
    <w:abstractNumId w:val="29"/>
  </w:num>
  <w:num w:numId="12" w16cid:durableId="1605382647">
    <w:abstractNumId w:val="23"/>
  </w:num>
  <w:num w:numId="13" w16cid:durableId="1635329139">
    <w:abstractNumId w:val="20"/>
  </w:num>
  <w:num w:numId="14" w16cid:durableId="676886534">
    <w:abstractNumId w:val="8"/>
  </w:num>
  <w:num w:numId="15" w16cid:durableId="833106946">
    <w:abstractNumId w:val="10"/>
  </w:num>
  <w:num w:numId="16" w16cid:durableId="1377896174">
    <w:abstractNumId w:val="27"/>
  </w:num>
  <w:num w:numId="17" w16cid:durableId="1709986104">
    <w:abstractNumId w:val="21"/>
  </w:num>
  <w:num w:numId="18" w16cid:durableId="431126929">
    <w:abstractNumId w:val="25"/>
  </w:num>
  <w:num w:numId="19" w16cid:durableId="1851329117">
    <w:abstractNumId w:val="2"/>
  </w:num>
  <w:num w:numId="20" w16cid:durableId="1507864891">
    <w:abstractNumId w:val="11"/>
  </w:num>
  <w:num w:numId="21" w16cid:durableId="457145869">
    <w:abstractNumId w:val="15"/>
  </w:num>
  <w:num w:numId="22" w16cid:durableId="1172647738">
    <w:abstractNumId w:val="3"/>
  </w:num>
  <w:num w:numId="23" w16cid:durableId="370426073">
    <w:abstractNumId w:val="31"/>
  </w:num>
  <w:num w:numId="24" w16cid:durableId="724374108">
    <w:abstractNumId w:val="34"/>
  </w:num>
  <w:num w:numId="25" w16cid:durableId="113982384">
    <w:abstractNumId w:val="35"/>
  </w:num>
  <w:num w:numId="26" w16cid:durableId="1466004490">
    <w:abstractNumId w:val="28"/>
  </w:num>
  <w:num w:numId="27" w16cid:durableId="243535126">
    <w:abstractNumId w:val="14"/>
  </w:num>
  <w:num w:numId="28" w16cid:durableId="1585727554">
    <w:abstractNumId w:val="22"/>
  </w:num>
  <w:num w:numId="29" w16cid:durableId="142167258">
    <w:abstractNumId w:val="0"/>
  </w:num>
  <w:num w:numId="30" w16cid:durableId="1046951087">
    <w:abstractNumId w:val="16"/>
  </w:num>
  <w:num w:numId="31" w16cid:durableId="992222710">
    <w:abstractNumId w:val="18"/>
  </w:num>
  <w:num w:numId="32" w16cid:durableId="340008170">
    <w:abstractNumId w:val="6"/>
  </w:num>
  <w:num w:numId="33" w16cid:durableId="2094038401">
    <w:abstractNumId w:val="17"/>
  </w:num>
  <w:num w:numId="34" w16cid:durableId="1482965981">
    <w:abstractNumId w:val="13"/>
  </w:num>
  <w:num w:numId="35" w16cid:durableId="1449155098">
    <w:abstractNumId w:val="5"/>
  </w:num>
  <w:num w:numId="36" w16cid:durableId="1726753673">
    <w:abstractNumId w:val="7"/>
  </w:num>
  <w:num w:numId="37" w16cid:durableId="491410320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4A"/>
    <w:rsid w:val="00001A2E"/>
    <w:rsid w:val="0000458A"/>
    <w:rsid w:val="00020DDA"/>
    <w:rsid w:val="00025E69"/>
    <w:rsid w:val="00027068"/>
    <w:rsid w:val="00040EC1"/>
    <w:rsid w:val="000469D6"/>
    <w:rsid w:val="00046D6E"/>
    <w:rsid w:val="00050AC1"/>
    <w:rsid w:val="00061344"/>
    <w:rsid w:val="000658DF"/>
    <w:rsid w:val="00066766"/>
    <w:rsid w:val="00067EDD"/>
    <w:rsid w:val="00070829"/>
    <w:rsid w:val="00073CE5"/>
    <w:rsid w:val="00081ADE"/>
    <w:rsid w:val="0008609B"/>
    <w:rsid w:val="00094658"/>
    <w:rsid w:val="000A4EBA"/>
    <w:rsid w:val="000A785F"/>
    <w:rsid w:val="000C1A19"/>
    <w:rsid w:val="000C3D1F"/>
    <w:rsid w:val="000C5D06"/>
    <w:rsid w:val="000D2084"/>
    <w:rsid w:val="000D2407"/>
    <w:rsid w:val="000D7C42"/>
    <w:rsid w:val="000E347F"/>
    <w:rsid w:val="000E3D0C"/>
    <w:rsid w:val="000E42FA"/>
    <w:rsid w:val="000E6625"/>
    <w:rsid w:val="000F1699"/>
    <w:rsid w:val="000F1FBC"/>
    <w:rsid w:val="000F56E7"/>
    <w:rsid w:val="0012241C"/>
    <w:rsid w:val="00122F66"/>
    <w:rsid w:val="00123C83"/>
    <w:rsid w:val="00124D6C"/>
    <w:rsid w:val="001260F2"/>
    <w:rsid w:val="00127650"/>
    <w:rsid w:val="001323DF"/>
    <w:rsid w:val="00135FD0"/>
    <w:rsid w:val="001366E7"/>
    <w:rsid w:val="00136E35"/>
    <w:rsid w:val="001372F4"/>
    <w:rsid w:val="00137C08"/>
    <w:rsid w:val="00137E3B"/>
    <w:rsid w:val="0014060F"/>
    <w:rsid w:val="00153618"/>
    <w:rsid w:val="00154951"/>
    <w:rsid w:val="00155977"/>
    <w:rsid w:val="001668F2"/>
    <w:rsid w:val="00170068"/>
    <w:rsid w:val="00171C1D"/>
    <w:rsid w:val="00171C57"/>
    <w:rsid w:val="00175C54"/>
    <w:rsid w:val="00177726"/>
    <w:rsid w:val="001A6505"/>
    <w:rsid w:val="001C01C3"/>
    <w:rsid w:val="001D1EE8"/>
    <w:rsid w:val="001E29D2"/>
    <w:rsid w:val="001E6759"/>
    <w:rsid w:val="001F38D3"/>
    <w:rsid w:val="001F6B0F"/>
    <w:rsid w:val="00214859"/>
    <w:rsid w:val="002152F6"/>
    <w:rsid w:val="00225F23"/>
    <w:rsid w:val="00233A4E"/>
    <w:rsid w:val="002347E4"/>
    <w:rsid w:val="00234FE5"/>
    <w:rsid w:val="00235B57"/>
    <w:rsid w:val="00242FAB"/>
    <w:rsid w:val="002472AE"/>
    <w:rsid w:val="002517F4"/>
    <w:rsid w:val="0025712F"/>
    <w:rsid w:val="002720EB"/>
    <w:rsid w:val="00273C11"/>
    <w:rsid w:val="002740A6"/>
    <w:rsid w:val="00277DFE"/>
    <w:rsid w:val="002821AE"/>
    <w:rsid w:val="002847DB"/>
    <w:rsid w:val="00287839"/>
    <w:rsid w:val="00291589"/>
    <w:rsid w:val="002915A7"/>
    <w:rsid w:val="002A5A39"/>
    <w:rsid w:val="002B3BEA"/>
    <w:rsid w:val="002B642B"/>
    <w:rsid w:val="002E1086"/>
    <w:rsid w:val="002E2180"/>
    <w:rsid w:val="002E6D72"/>
    <w:rsid w:val="002F211A"/>
    <w:rsid w:val="002F34A9"/>
    <w:rsid w:val="003003E3"/>
    <w:rsid w:val="00307A01"/>
    <w:rsid w:val="00312E67"/>
    <w:rsid w:val="003238CF"/>
    <w:rsid w:val="00345FD8"/>
    <w:rsid w:val="00357A91"/>
    <w:rsid w:val="00360A77"/>
    <w:rsid w:val="00362946"/>
    <w:rsid w:val="003665F1"/>
    <w:rsid w:val="00373C92"/>
    <w:rsid w:val="00374936"/>
    <w:rsid w:val="003755C6"/>
    <w:rsid w:val="00385C84"/>
    <w:rsid w:val="00391DFA"/>
    <w:rsid w:val="003920E3"/>
    <w:rsid w:val="00393637"/>
    <w:rsid w:val="003944DA"/>
    <w:rsid w:val="003A39A5"/>
    <w:rsid w:val="003B151E"/>
    <w:rsid w:val="003C2A0E"/>
    <w:rsid w:val="003D2377"/>
    <w:rsid w:val="003D43FD"/>
    <w:rsid w:val="003D6AE6"/>
    <w:rsid w:val="003E671D"/>
    <w:rsid w:val="003F6919"/>
    <w:rsid w:val="003F7509"/>
    <w:rsid w:val="0040090F"/>
    <w:rsid w:val="004077DF"/>
    <w:rsid w:val="004110F3"/>
    <w:rsid w:val="00415746"/>
    <w:rsid w:val="00426744"/>
    <w:rsid w:val="00426EAF"/>
    <w:rsid w:val="0044043B"/>
    <w:rsid w:val="00440F82"/>
    <w:rsid w:val="004410FE"/>
    <w:rsid w:val="00455D3E"/>
    <w:rsid w:val="004805FF"/>
    <w:rsid w:val="00485CB5"/>
    <w:rsid w:val="00485EE5"/>
    <w:rsid w:val="0049639C"/>
    <w:rsid w:val="004A2025"/>
    <w:rsid w:val="004A2C51"/>
    <w:rsid w:val="004A4121"/>
    <w:rsid w:val="004C6FE8"/>
    <w:rsid w:val="004D537E"/>
    <w:rsid w:val="004E251F"/>
    <w:rsid w:val="004E62C5"/>
    <w:rsid w:val="004E6965"/>
    <w:rsid w:val="004F17B2"/>
    <w:rsid w:val="004F3E25"/>
    <w:rsid w:val="004F502B"/>
    <w:rsid w:val="004F51DE"/>
    <w:rsid w:val="00504772"/>
    <w:rsid w:val="005146BC"/>
    <w:rsid w:val="00521421"/>
    <w:rsid w:val="00522ADD"/>
    <w:rsid w:val="005243CF"/>
    <w:rsid w:val="00526E5D"/>
    <w:rsid w:val="005347C0"/>
    <w:rsid w:val="00535E76"/>
    <w:rsid w:val="0056537F"/>
    <w:rsid w:val="00576830"/>
    <w:rsid w:val="005830FC"/>
    <w:rsid w:val="005875C2"/>
    <w:rsid w:val="00593920"/>
    <w:rsid w:val="00595AA6"/>
    <w:rsid w:val="005A142F"/>
    <w:rsid w:val="005A49BF"/>
    <w:rsid w:val="005B1BA1"/>
    <w:rsid w:val="005B5A13"/>
    <w:rsid w:val="005C0AE0"/>
    <w:rsid w:val="005C4F79"/>
    <w:rsid w:val="005C6B6E"/>
    <w:rsid w:val="005C7AA9"/>
    <w:rsid w:val="005C7C5B"/>
    <w:rsid w:val="005D6F30"/>
    <w:rsid w:val="005D725F"/>
    <w:rsid w:val="005E1990"/>
    <w:rsid w:val="005E2B26"/>
    <w:rsid w:val="005E4C7C"/>
    <w:rsid w:val="005E6341"/>
    <w:rsid w:val="005F3B8C"/>
    <w:rsid w:val="005F636F"/>
    <w:rsid w:val="006109C5"/>
    <w:rsid w:val="006109FF"/>
    <w:rsid w:val="00624A47"/>
    <w:rsid w:val="00624C2D"/>
    <w:rsid w:val="00644005"/>
    <w:rsid w:val="0066592E"/>
    <w:rsid w:val="00667D75"/>
    <w:rsid w:val="00672737"/>
    <w:rsid w:val="00676F3A"/>
    <w:rsid w:val="00682731"/>
    <w:rsid w:val="006860DD"/>
    <w:rsid w:val="006878D4"/>
    <w:rsid w:val="006A2041"/>
    <w:rsid w:val="006A79AB"/>
    <w:rsid w:val="006B0D7D"/>
    <w:rsid w:val="006B7A05"/>
    <w:rsid w:val="006E2A8D"/>
    <w:rsid w:val="006E4A26"/>
    <w:rsid w:val="006F23EE"/>
    <w:rsid w:val="006F45FA"/>
    <w:rsid w:val="006F4DA1"/>
    <w:rsid w:val="0071012F"/>
    <w:rsid w:val="0071247E"/>
    <w:rsid w:val="00712DB7"/>
    <w:rsid w:val="00717CB8"/>
    <w:rsid w:val="00723583"/>
    <w:rsid w:val="00724344"/>
    <w:rsid w:val="0073183D"/>
    <w:rsid w:val="00733CD6"/>
    <w:rsid w:val="00755E1E"/>
    <w:rsid w:val="00757124"/>
    <w:rsid w:val="0076169B"/>
    <w:rsid w:val="0076445B"/>
    <w:rsid w:val="00765BEA"/>
    <w:rsid w:val="007678B5"/>
    <w:rsid w:val="00770130"/>
    <w:rsid w:val="00770239"/>
    <w:rsid w:val="00783920"/>
    <w:rsid w:val="00787369"/>
    <w:rsid w:val="00793387"/>
    <w:rsid w:val="00794899"/>
    <w:rsid w:val="00795323"/>
    <w:rsid w:val="00797F67"/>
    <w:rsid w:val="007A2782"/>
    <w:rsid w:val="007B2E69"/>
    <w:rsid w:val="007B3CCC"/>
    <w:rsid w:val="007B3F10"/>
    <w:rsid w:val="007C2AA5"/>
    <w:rsid w:val="007C7A4E"/>
    <w:rsid w:val="007D3D98"/>
    <w:rsid w:val="007D5F4B"/>
    <w:rsid w:val="007D6C37"/>
    <w:rsid w:val="007E7619"/>
    <w:rsid w:val="007F153D"/>
    <w:rsid w:val="0080224A"/>
    <w:rsid w:val="008101CA"/>
    <w:rsid w:val="0081132B"/>
    <w:rsid w:val="008122D9"/>
    <w:rsid w:val="00814605"/>
    <w:rsid w:val="0081656B"/>
    <w:rsid w:val="00827057"/>
    <w:rsid w:val="008311D9"/>
    <w:rsid w:val="00831902"/>
    <w:rsid w:val="00833433"/>
    <w:rsid w:val="00834282"/>
    <w:rsid w:val="00845F13"/>
    <w:rsid w:val="00850484"/>
    <w:rsid w:val="0085445D"/>
    <w:rsid w:val="00863AEF"/>
    <w:rsid w:val="00883803"/>
    <w:rsid w:val="008845C7"/>
    <w:rsid w:val="0088582F"/>
    <w:rsid w:val="00891FB5"/>
    <w:rsid w:val="00894B62"/>
    <w:rsid w:val="008A1441"/>
    <w:rsid w:val="008B4DE6"/>
    <w:rsid w:val="008D28DE"/>
    <w:rsid w:val="008D7BBA"/>
    <w:rsid w:val="008E1341"/>
    <w:rsid w:val="008E3134"/>
    <w:rsid w:val="00912DF0"/>
    <w:rsid w:val="009170E0"/>
    <w:rsid w:val="00917A87"/>
    <w:rsid w:val="009206B8"/>
    <w:rsid w:val="00922500"/>
    <w:rsid w:val="0092670C"/>
    <w:rsid w:val="0093209B"/>
    <w:rsid w:val="009334FC"/>
    <w:rsid w:val="009378E7"/>
    <w:rsid w:val="0094653F"/>
    <w:rsid w:val="009543C0"/>
    <w:rsid w:val="0095580A"/>
    <w:rsid w:val="00956D76"/>
    <w:rsid w:val="0096514C"/>
    <w:rsid w:val="00985D5C"/>
    <w:rsid w:val="00996925"/>
    <w:rsid w:val="009B6774"/>
    <w:rsid w:val="009B7927"/>
    <w:rsid w:val="009C55A1"/>
    <w:rsid w:val="009C6B4C"/>
    <w:rsid w:val="009F0B43"/>
    <w:rsid w:val="009F0FEA"/>
    <w:rsid w:val="00A0062E"/>
    <w:rsid w:val="00A06444"/>
    <w:rsid w:val="00A25D42"/>
    <w:rsid w:val="00A2668A"/>
    <w:rsid w:val="00A30BE1"/>
    <w:rsid w:val="00A343B3"/>
    <w:rsid w:val="00A433F0"/>
    <w:rsid w:val="00A46870"/>
    <w:rsid w:val="00A530CE"/>
    <w:rsid w:val="00A76D6C"/>
    <w:rsid w:val="00A80F4A"/>
    <w:rsid w:val="00A84AF9"/>
    <w:rsid w:val="00A86E06"/>
    <w:rsid w:val="00A92B62"/>
    <w:rsid w:val="00A96A95"/>
    <w:rsid w:val="00A977BB"/>
    <w:rsid w:val="00AA279A"/>
    <w:rsid w:val="00AA3F34"/>
    <w:rsid w:val="00AA7A93"/>
    <w:rsid w:val="00AB0341"/>
    <w:rsid w:val="00AB4E5D"/>
    <w:rsid w:val="00AB7707"/>
    <w:rsid w:val="00AC1CBE"/>
    <w:rsid w:val="00AC1CEB"/>
    <w:rsid w:val="00AC4110"/>
    <w:rsid w:val="00AD31AD"/>
    <w:rsid w:val="00AE03D7"/>
    <w:rsid w:val="00AE7BB7"/>
    <w:rsid w:val="00B0608F"/>
    <w:rsid w:val="00B07BAC"/>
    <w:rsid w:val="00B07CB3"/>
    <w:rsid w:val="00B148E6"/>
    <w:rsid w:val="00B17AE5"/>
    <w:rsid w:val="00B272BF"/>
    <w:rsid w:val="00B33643"/>
    <w:rsid w:val="00B351AC"/>
    <w:rsid w:val="00B3538F"/>
    <w:rsid w:val="00B41FEA"/>
    <w:rsid w:val="00B53682"/>
    <w:rsid w:val="00B61781"/>
    <w:rsid w:val="00B7110A"/>
    <w:rsid w:val="00B76B3C"/>
    <w:rsid w:val="00B8045F"/>
    <w:rsid w:val="00B85268"/>
    <w:rsid w:val="00B86103"/>
    <w:rsid w:val="00BB668D"/>
    <w:rsid w:val="00BC1AFB"/>
    <w:rsid w:val="00BC2B93"/>
    <w:rsid w:val="00BC627B"/>
    <w:rsid w:val="00BC778C"/>
    <w:rsid w:val="00BD3A7A"/>
    <w:rsid w:val="00BD64AE"/>
    <w:rsid w:val="00BF108F"/>
    <w:rsid w:val="00BF540B"/>
    <w:rsid w:val="00C0165E"/>
    <w:rsid w:val="00C13260"/>
    <w:rsid w:val="00C34D79"/>
    <w:rsid w:val="00C34F21"/>
    <w:rsid w:val="00C35D12"/>
    <w:rsid w:val="00C374A8"/>
    <w:rsid w:val="00C3777B"/>
    <w:rsid w:val="00C45303"/>
    <w:rsid w:val="00C56282"/>
    <w:rsid w:val="00C6168F"/>
    <w:rsid w:val="00C651C3"/>
    <w:rsid w:val="00C777B1"/>
    <w:rsid w:val="00C819BA"/>
    <w:rsid w:val="00C82E01"/>
    <w:rsid w:val="00C8615B"/>
    <w:rsid w:val="00C877C3"/>
    <w:rsid w:val="00C91896"/>
    <w:rsid w:val="00CA3A12"/>
    <w:rsid w:val="00CA4F72"/>
    <w:rsid w:val="00CA6A44"/>
    <w:rsid w:val="00CA6DA9"/>
    <w:rsid w:val="00CB1289"/>
    <w:rsid w:val="00CB3763"/>
    <w:rsid w:val="00CC694D"/>
    <w:rsid w:val="00CE0A24"/>
    <w:rsid w:val="00CE13BA"/>
    <w:rsid w:val="00CE30C6"/>
    <w:rsid w:val="00CE3E01"/>
    <w:rsid w:val="00CE7392"/>
    <w:rsid w:val="00CE7BEC"/>
    <w:rsid w:val="00D12B24"/>
    <w:rsid w:val="00D14BA3"/>
    <w:rsid w:val="00D14BF5"/>
    <w:rsid w:val="00D2318B"/>
    <w:rsid w:val="00D26EE7"/>
    <w:rsid w:val="00D3133C"/>
    <w:rsid w:val="00D35AC5"/>
    <w:rsid w:val="00D45D10"/>
    <w:rsid w:val="00D65A52"/>
    <w:rsid w:val="00D70DC6"/>
    <w:rsid w:val="00D719FB"/>
    <w:rsid w:val="00D7244F"/>
    <w:rsid w:val="00D74B2A"/>
    <w:rsid w:val="00D77028"/>
    <w:rsid w:val="00D85822"/>
    <w:rsid w:val="00D908F7"/>
    <w:rsid w:val="00DB6E1B"/>
    <w:rsid w:val="00DC68DC"/>
    <w:rsid w:val="00DC7A11"/>
    <w:rsid w:val="00DD43B9"/>
    <w:rsid w:val="00DD766A"/>
    <w:rsid w:val="00DD7803"/>
    <w:rsid w:val="00DE086E"/>
    <w:rsid w:val="00DE6E3D"/>
    <w:rsid w:val="00DE6E9F"/>
    <w:rsid w:val="00DF0E59"/>
    <w:rsid w:val="00DF143B"/>
    <w:rsid w:val="00E00E82"/>
    <w:rsid w:val="00E01197"/>
    <w:rsid w:val="00E023B7"/>
    <w:rsid w:val="00E12643"/>
    <w:rsid w:val="00E212B0"/>
    <w:rsid w:val="00E22803"/>
    <w:rsid w:val="00E30C9F"/>
    <w:rsid w:val="00E31DEF"/>
    <w:rsid w:val="00E34F33"/>
    <w:rsid w:val="00E517FA"/>
    <w:rsid w:val="00E5373A"/>
    <w:rsid w:val="00E80185"/>
    <w:rsid w:val="00E8619C"/>
    <w:rsid w:val="00E878FA"/>
    <w:rsid w:val="00E87D1A"/>
    <w:rsid w:val="00E92750"/>
    <w:rsid w:val="00E9627E"/>
    <w:rsid w:val="00E9759F"/>
    <w:rsid w:val="00EA2209"/>
    <w:rsid w:val="00EA44CC"/>
    <w:rsid w:val="00EA4C6D"/>
    <w:rsid w:val="00EA78C9"/>
    <w:rsid w:val="00EC0264"/>
    <w:rsid w:val="00EC12EE"/>
    <w:rsid w:val="00EC3649"/>
    <w:rsid w:val="00ED0B48"/>
    <w:rsid w:val="00ED3B0F"/>
    <w:rsid w:val="00ED42FA"/>
    <w:rsid w:val="00EE1C59"/>
    <w:rsid w:val="00EF2845"/>
    <w:rsid w:val="00EF462B"/>
    <w:rsid w:val="00F012BC"/>
    <w:rsid w:val="00F01726"/>
    <w:rsid w:val="00F06D31"/>
    <w:rsid w:val="00F13F13"/>
    <w:rsid w:val="00F174A7"/>
    <w:rsid w:val="00F179F4"/>
    <w:rsid w:val="00F20E57"/>
    <w:rsid w:val="00F312BA"/>
    <w:rsid w:val="00F334E6"/>
    <w:rsid w:val="00F40D6B"/>
    <w:rsid w:val="00F4490E"/>
    <w:rsid w:val="00F44C04"/>
    <w:rsid w:val="00F46126"/>
    <w:rsid w:val="00F5165F"/>
    <w:rsid w:val="00F55A7B"/>
    <w:rsid w:val="00F63F69"/>
    <w:rsid w:val="00F7506B"/>
    <w:rsid w:val="00F9302A"/>
    <w:rsid w:val="00F959C6"/>
    <w:rsid w:val="00F978AE"/>
    <w:rsid w:val="00FA305B"/>
    <w:rsid w:val="00FA5C13"/>
    <w:rsid w:val="00FA7F94"/>
    <w:rsid w:val="00FB34CA"/>
    <w:rsid w:val="00FB4BBE"/>
    <w:rsid w:val="00FB6EFA"/>
    <w:rsid w:val="00FC3A12"/>
    <w:rsid w:val="00FC54AA"/>
    <w:rsid w:val="00FC594C"/>
    <w:rsid w:val="00FD6EFF"/>
    <w:rsid w:val="00FD787F"/>
    <w:rsid w:val="00FE2747"/>
    <w:rsid w:val="00FE2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9615"/>
  <w15:docId w15:val="{F09EBAD7-92A6-441B-8219-0C59DE90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625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13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1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13"/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58"/>
    <w:rPr>
      <w:rFonts w:ascii="Segoe UI" w:eastAsiaTheme="minorEastAsia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7F1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c.ahajournals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B53B-F9D2-4317-9045-C8DB597F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3075</Words>
  <Characters>17529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Vəfa İsgəndərova</dc:creator>
  <cp:lastModifiedBy>Hayat Aliyeva</cp:lastModifiedBy>
  <cp:revision>3</cp:revision>
  <cp:lastPrinted>2023-02-10T05:00:00Z</cp:lastPrinted>
  <dcterms:created xsi:type="dcterms:W3CDTF">2023-05-11T14:36:00Z</dcterms:created>
  <dcterms:modified xsi:type="dcterms:W3CDTF">2023-05-11T15:36:00Z</dcterms:modified>
</cp:coreProperties>
</file>